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59C6" w14:textId="7A2C6E61" w:rsidR="001925FA" w:rsidRDefault="00FB7517" w:rsidP="00FB751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Разъясняет заместитель прокурора </w:t>
      </w:r>
      <w:proofErr w:type="spellStart"/>
      <w:r w:rsidRPr="00FB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FB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Рогач В.В.</w:t>
      </w:r>
    </w:p>
    <w:p w14:paraId="13D3CD80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РФ предложил с 1 января 2024 года дополнительно к запланированному повышению МРОТ провести его индексацию еще на десять процентов</w:t>
      </w: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A33888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минимальный размер оплаты труда вырастет на 18,5 процента и составит 19 242 рубля. </w:t>
      </w:r>
    </w:p>
    <w:p w14:paraId="30BC7B92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перечне заявленных мер поддержки граждан и бизнеса: </w:t>
      </w:r>
    </w:p>
    <w:p w14:paraId="49DD526D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размер социального налогового вычета по расходам на обучение детей с 50 тыс. до 110 тыс. рублей в год, по расходам на собственное обучение, а также на лечение и приобретение лекарств - со 120 тыс. до 150 тыс. рублей. При этом 13% от этих повышенных сумм государство вернет гражданам из уплаченного ими подоходного налога; </w:t>
      </w:r>
    </w:p>
    <w:p w14:paraId="4AAFF6E4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 сохранность вложений граждан в добровольные пенсионные накопления на сумму до 2,8 млн рублей с использованием механизма, аналогичного системе стра</w:t>
      </w:r>
      <w:bookmarkStart w:id="0" w:name="_GoBack"/>
      <w:bookmarkEnd w:id="0"/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хования банковских вкладов; </w:t>
      </w:r>
    </w:p>
    <w:p w14:paraId="5B9F53C1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возможность уменьшения выплат по налогу на прибыль в случае приобретения российских IT-решений и продукции с использованием искусственного интеллекта; </w:t>
      </w:r>
    </w:p>
    <w:p w14:paraId="0A5D0588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вопросы декриминализации ряда норм уголовного законодательства в части так называемых экономических составов; </w:t>
      </w:r>
    </w:p>
    <w:p w14:paraId="2DA9F3E5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ускорить процесс деофшоризации экономики. Бизнес, прежде всего в ключевых секторах и отраслях, должен действовать в российской юрисдикции; </w:t>
      </w:r>
    </w:p>
    <w:p w14:paraId="6BFE6896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специальный государственный фонд в целях оказания адресной помощи участникам специальной военной операции; </w:t>
      </w:r>
    </w:p>
    <w:p w14:paraId="19FF3EE0" w14:textId="77777777" w:rsidR="00B76D04" w:rsidRPr="00B76D04" w:rsidRDefault="00B76D04" w:rsidP="00B7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к традиционной подготовке специалистов с высшим образованием, со сроком обучения от четырех до шести лет, с возможностью получения дополнительного образования в магистратуре или ординатуре. Аспирантура будет выделена в отдельный уровень профессионального образования. </w:t>
      </w:r>
    </w:p>
    <w:p w14:paraId="159384B1" w14:textId="594A560B" w:rsidR="00FB7517" w:rsidRPr="009D5D7D" w:rsidRDefault="00FB7517" w:rsidP="00B76D04">
      <w:pPr>
        <w:ind w:firstLine="709"/>
        <w:jc w:val="both"/>
        <w:rPr>
          <w:sz w:val="28"/>
          <w:szCs w:val="28"/>
        </w:rPr>
      </w:pPr>
    </w:p>
    <w:sectPr w:rsidR="00FB7517" w:rsidRPr="009D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DB"/>
    <w:rsid w:val="001925FA"/>
    <w:rsid w:val="002841EB"/>
    <w:rsid w:val="00410A9F"/>
    <w:rsid w:val="007D25DB"/>
    <w:rsid w:val="009241DA"/>
    <w:rsid w:val="009D5D7D"/>
    <w:rsid w:val="00B76D04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E666"/>
  <w15:chartTrackingRefBased/>
  <w15:docId w15:val="{BBCB3AD5-BE8D-412A-BF24-3E3056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 Диана Викторовна</dc:creator>
  <cp:keywords/>
  <dc:description/>
  <cp:lastModifiedBy>Шеховцова Диана Викторовна</cp:lastModifiedBy>
  <cp:revision>2</cp:revision>
  <dcterms:created xsi:type="dcterms:W3CDTF">2023-02-28T07:25:00Z</dcterms:created>
  <dcterms:modified xsi:type="dcterms:W3CDTF">2023-02-28T07:25:00Z</dcterms:modified>
</cp:coreProperties>
</file>